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pPr>
      <w:r w:rsidDel="00000000" w:rsidR="00000000" w:rsidRPr="00000000">
        <w:rPr>
          <w:b w:val="1"/>
          <w:sz w:val="28"/>
          <w:rtl w:val="0"/>
        </w:rPr>
        <w:t xml:space="preserve">Annotated Bibliography</w:t>
      </w:r>
      <w:r w:rsidDel="00000000" w:rsidR="00000000" w:rsidRPr="00000000">
        <w:rPr>
          <w:rtl w:val="0"/>
        </w:rPr>
        <w:t xml:space="preserve"> (Due. April 16th)</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This assignment will help you launch your literature review by guiding you through an analysis and critique of journal articles you think are important to an aspect of your research topic. Using the following format shown below, select 8-10 articles and develop an annotated bibliography exploring the important aspects of each text. Consider the following elements:</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Author and disciplinary background</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Theoretical framework or main argument</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Methods of research or analysis</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Findings from the text or study</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Conclusions made by the author</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Personal critique related to any aspect of research you find problematic</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spacing w:line="480" w:lineRule="auto"/>
              <w:contextualSpacing w:val="0"/>
            </w:pPr>
            <w:r w:rsidDel="00000000" w:rsidR="00000000" w:rsidRPr="00000000">
              <w:rPr>
                <w:rtl w:val="0"/>
              </w:rPr>
              <w:t xml:space="preserve">Ehrenreich, B. (2001). </w:t>
            </w:r>
            <w:r w:rsidDel="00000000" w:rsidR="00000000" w:rsidRPr="00000000">
              <w:rPr>
                <w:i w:val="1"/>
                <w:rtl w:val="0"/>
              </w:rPr>
              <w:t xml:space="preserve">Nickel and dimed: On (not) getting by in America</w:t>
            </w:r>
            <w:r w:rsidDel="00000000" w:rsidR="00000000" w:rsidRPr="00000000">
              <w:rPr>
                <w:rtl w:val="0"/>
              </w:rPr>
              <w:t xml:space="preserve">. New York, NY: </w:t>
            </w:r>
          </w:p>
          <w:p w:rsidR="00000000" w:rsidDel="00000000" w:rsidP="00000000" w:rsidRDefault="00000000" w:rsidRPr="00000000">
            <w:pPr>
              <w:spacing w:line="480" w:lineRule="auto"/>
              <w:contextualSpacing w:val="0"/>
            </w:pPr>
            <w:r w:rsidDel="00000000" w:rsidR="00000000" w:rsidRPr="00000000">
              <w:rPr>
                <w:rtl w:val="0"/>
              </w:rPr>
              <w:t xml:space="preserve">         Henry Holt and Company.</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 xml:space="preserve">In this book of nonfiction based on the journalist's experiential research, Ehrenreich attempts to ascertain whether it is currently possible for an individual to live on a minimum-wage in America. Taking jobs as a waitress, a maid in a cleaning service, and a Walmart sales employee, the author summarizes and reflects on her work, her relationships with fellow workers, and her financial struggles in each situation.</w:t>
            </w:r>
          </w:p>
          <w:p w:rsidR="00000000" w:rsidDel="00000000" w:rsidP="00000000" w:rsidRDefault="00000000" w:rsidRPr="00000000">
            <w:pPr>
              <w:spacing w:line="480" w:lineRule="auto"/>
              <w:ind w:firstLine="720"/>
              <w:contextualSpacing w:val="0"/>
            </w:pPr>
            <w:r w:rsidDel="00000000" w:rsidR="00000000" w:rsidRPr="00000000">
              <w:rPr>
                <w:rtl w:val="0"/>
              </w:rPr>
              <w:t xml:space="preserve">An experienced journalist, Ehrenreich is aware of the limitations of her experiment and the ethical implications of her experiential research tactics and reflects on these issues in the text. The author is forthcoming about her methods and supplements her experiences with scholarly research on her places of employment, the economy, and the rising cost of living in America. Ehrenreich’s project is timely, descriptive, and well-researched.</w:t>
            </w:r>
          </w:p>
        </w:tc>
      </w:tr>
    </w:tbl>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ED 602 | Spring 2015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eader" Target="header1.xml"/></Relationships>
</file>